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B331B" w14:textId="28C1B4B2" w:rsidR="00827376" w:rsidRDefault="00827376">
      <w:pPr>
        <w:pStyle w:val="Heading1"/>
        <w:spacing w:before="66" w:line="240" w:lineRule="auto"/>
        <w:ind w:left="1102"/>
      </w:pPr>
      <w:r>
        <w:rPr>
          <w:noProof/>
        </w:rPr>
        <w:drawing>
          <wp:anchor distT="0" distB="0" distL="114300" distR="114300" simplePos="0" relativeHeight="251657216" behindDoc="0" locked="0" layoutInCell="1" allowOverlap="1" wp14:anchorId="1A2926E3" wp14:editId="7B19A227">
            <wp:simplePos x="0" y="0"/>
            <wp:positionH relativeFrom="column">
              <wp:posOffset>-158750</wp:posOffset>
            </wp:positionH>
            <wp:positionV relativeFrom="paragraph">
              <wp:posOffset>-225425</wp:posOffset>
            </wp:positionV>
            <wp:extent cx="2474595" cy="476250"/>
            <wp:effectExtent l="0" t="0" r="0" b="0"/>
            <wp:wrapSquare wrapText="bothSides"/>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_Logo_tagline.jpg"/>
                    <pic:cNvPicPr/>
                  </pic:nvPicPr>
                  <pic:blipFill rotWithShape="1">
                    <a:blip r:embed="rId8" cstate="print">
                      <a:extLst>
                        <a:ext uri="{28A0092B-C50C-407E-A947-70E740481C1C}">
                          <a14:useLocalDpi xmlns:a14="http://schemas.microsoft.com/office/drawing/2010/main" val="0"/>
                        </a:ext>
                      </a:extLst>
                    </a:blip>
                    <a:srcRect t="31092" b="26891"/>
                    <a:stretch/>
                  </pic:blipFill>
                  <pic:spPr bwMode="auto">
                    <a:xfrm>
                      <a:off x="0" y="0"/>
                      <a:ext cx="2474595"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756C44C" w14:textId="77777777" w:rsidR="00827376" w:rsidRDefault="00827376">
      <w:pPr>
        <w:pStyle w:val="Heading1"/>
        <w:spacing w:before="66" w:line="240" w:lineRule="auto"/>
        <w:ind w:left="1102"/>
      </w:pPr>
    </w:p>
    <w:p w14:paraId="42933A46" w14:textId="28C85716" w:rsidR="00C62737" w:rsidRPr="00827376" w:rsidRDefault="00591823" w:rsidP="00827376">
      <w:pPr>
        <w:pStyle w:val="Heading1"/>
        <w:spacing w:before="66" w:line="240" w:lineRule="auto"/>
        <w:rPr>
          <w:rFonts w:asciiTheme="minorHAnsi" w:hAnsiTheme="minorHAnsi" w:cstheme="minorHAnsi"/>
          <w:color w:val="31849B" w:themeColor="accent5" w:themeShade="BF"/>
        </w:rPr>
      </w:pPr>
      <w:r w:rsidRPr="00827376">
        <w:rPr>
          <w:rFonts w:asciiTheme="minorHAnsi" w:hAnsiTheme="minorHAnsi" w:cstheme="minorHAnsi"/>
          <w:color w:val="31849B" w:themeColor="accent5" w:themeShade="BF"/>
        </w:rPr>
        <w:t>A Guide to Developing Your CME Activity (Chairs &amp; Planning Members)</w:t>
      </w:r>
    </w:p>
    <w:p w14:paraId="42933A47" w14:textId="77777777" w:rsidR="00C62737" w:rsidRPr="00827376" w:rsidRDefault="00C62737">
      <w:pPr>
        <w:pStyle w:val="BodyText"/>
        <w:spacing w:before="11"/>
        <w:rPr>
          <w:rFonts w:asciiTheme="minorHAnsi" w:hAnsiTheme="minorHAnsi" w:cstheme="minorHAnsi"/>
          <w:b/>
          <w:sz w:val="21"/>
        </w:rPr>
      </w:pPr>
    </w:p>
    <w:p w14:paraId="42933A48" w14:textId="53C452A9" w:rsidR="00C62737" w:rsidRPr="00827376" w:rsidRDefault="00591823">
      <w:pPr>
        <w:pStyle w:val="BodyText"/>
        <w:ind w:left="119" w:right="197"/>
        <w:rPr>
          <w:rFonts w:asciiTheme="minorHAnsi" w:hAnsiTheme="minorHAnsi" w:cstheme="minorHAnsi"/>
        </w:rPr>
      </w:pPr>
      <w:r w:rsidRPr="00827376">
        <w:rPr>
          <w:rFonts w:asciiTheme="minorHAnsi" w:hAnsiTheme="minorHAnsi" w:cstheme="minorHAnsi"/>
        </w:rPr>
        <w:t>CME staff are available to assist you over the next few months to develop appropriate learning objectives, education content, and teaching materials for your session. You will be contacted by phone or email to begin this process. Please keep in mind th</w:t>
      </w:r>
      <w:r w:rsidRPr="00827376">
        <w:rPr>
          <w:rFonts w:asciiTheme="minorHAnsi" w:hAnsiTheme="minorHAnsi" w:cstheme="minorHAnsi"/>
        </w:rPr>
        <w:t xml:space="preserve">at our education program aims to </w:t>
      </w:r>
      <w:r w:rsidRPr="009B78C1">
        <w:rPr>
          <w:rFonts w:asciiTheme="minorHAnsi" w:hAnsiTheme="minorHAnsi" w:cstheme="minorHAnsi"/>
          <w:b/>
          <w:bCs/>
          <w:i/>
        </w:rPr>
        <w:t>effect changes in the knowledge, competence, and/or performance</w:t>
      </w:r>
      <w:r w:rsidRPr="00827376">
        <w:rPr>
          <w:rFonts w:asciiTheme="minorHAnsi" w:hAnsiTheme="minorHAnsi" w:cstheme="minorHAnsi"/>
          <w:i/>
        </w:rPr>
        <w:t xml:space="preserve"> </w:t>
      </w:r>
      <w:r w:rsidRPr="00827376">
        <w:rPr>
          <w:rFonts w:asciiTheme="minorHAnsi" w:hAnsiTheme="minorHAnsi" w:cstheme="minorHAnsi"/>
        </w:rPr>
        <w:t>of physicians attending the meetings. To that end, please use the following as guidelines in preparing your CME Activity, presentations and material.</w:t>
      </w:r>
    </w:p>
    <w:p w14:paraId="42933A49" w14:textId="77777777" w:rsidR="00C62737" w:rsidRPr="00827376" w:rsidRDefault="00C62737">
      <w:pPr>
        <w:pStyle w:val="BodyText"/>
        <w:rPr>
          <w:rFonts w:asciiTheme="minorHAnsi" w:hAnsiTheme="minorHAnsi" w:cstheme="minorHAnsi"/>
        </w:rPr>
      </w:pPr>
    </w:p>
    <w:p w14:paraId="42933A4A" w14:textId="77777777" w:rsidR="00C62737" w:rsidRPr="00827376" w:rsidRDefault="00591823">
      <w:pPr>
        <w:pStyle w:val="BodyText"/>
        <w:ind w:left="119"/>
        <w:rPr>
          <w:rFonts w:asciiTheme="minorHAnsi" w:hAnsiTheme="minorHAnsi" w:cstheme="minorHAnsi"/>
          <w:b/>
          <w:bCs/>
          <w:color w:val="31849B" w:themeColor="accent5" w:themeShade="BF"/>
          <w:sz w:val="24"/>
          <w:szCs w:val="24"/>
        </w:rPr>
      </w:pPr>
      <w:r w:rsidRPr="00827376">
        <w:rPr>
          <w:rFonts w:asciiTheme="minorHAnsi" w:hAnsiTheme="minorHAnsi" w:cstheme="minorHAnsi"/>
          <w:b/>
          <w:bCs/>
          <w:color w:val="31849B" w:themeColor="accent5" w:themeShade="BF"/>
          <w:sz w:val="24"/>
          <w:szCs w:val="24"/>
          <w:u w:val="single"/>
        </w:rPr>
        <w:t>Disclosu</w:t>
      </w:r>
      <w:r w:rsidRPr="00827376">
        <w:rPr>
          <w:rFonts w:asciiTheme="minorHAnsi" w:hAnsiTheme="minorHAnsi" w:cstheme="minorHAnsi"/>
          <w:b/>
          <w:bCs/>
          <w:color w:val="31849B" w:themeColor="accent5" w:themeShade="BF"/>
          <w:sz w:val="24"/>
          <w:szCs w:val="24"/>
          <w:u w:val="single"/>
        </w:rPr>
        <w:t>re Slide</w:t>
      </w:r>
      <w:r w:rsidRPr="00827376">
        <w:rPr>
          <w:rFonts w:asciiTheme="minorHAnsi" w:hAnsiTheme="minorHAnsi" w:cstheme="minorHAnsi"/>
          <w:b/>
          <w:bCs/>
          <w:color w:val="31849B" w:themeColor="accent5" w:themeShade="BF"/>
          <w:sz w:val="24"/>
          <w:szCs w:val="24"/>
        </w:rPr>
        <w:t>:</w:t>
      </w:r>
    </w:p>
    <w:p w14:paraId="42933A4B" w14:textId="77777777" w:rsidR="00C62737" w:rsidRPr="00827376" w:rsidRDefault="00591823">
      <w:pPr>
        <w:pStyle w:val="BodyText"/>
        <w:ind w:left="119" w:right="197"/>
        <w:rPr>
          <w:rFonts w:asciiTheme="minorHAnsi" w:hAnsiTheme="minorHAnsi" w:cstheme="minorHAnsi"/>
        </w:rPr>
      </w:pPr>
      <w:r w:rsidRPr="00827376">
        <w:rPr>
          <w:rFonts w:asciiTheme="minorHAnsi" w:hAnsiTheme="minorHAnsi" w:cstheme="minorHAnsi"/>
        </w:rPr>
        <w:t xml:space="preserve">Your PowerPoint presentation should include a disclosure of financial relationship on the </w:t>
      </w:r>
      <w:r w:rsidRPr="00827376">
        <w:rPr>
          <w:rFonts w:asciiTheme="minorHAnsi" w:hAnsiTheme="minorHAnsi" w:cstheme="minorHAnsi"/>
          <w:i/>
        </w:rPr>
        <w:t xml:space="preserve">very first </w:t>
      </w:r>
      <w:r w:rsidRPr="00827376">
        <w:rPr>
          <w:rFonts w:asciiTheme="minorHAnsi" w:hAnsiTheme="minorHAnsi" w:cstheme="minorHAnsi"/>
        </w:rPr>
        <w:t>slide of your presentation. Your disclosure information should match the disclosure form that you submitted to the CME Dept. during the early pla</w:t>
      </w:r>
      <w:r w:rsidRPr="00827376">
        <w:rPr>
          <w:rFonts w:asciiTheme="minorHAnsi" w:hAnsiTheme="minorHAnsi" w:cstheme="minorHAnsi"/>
        </w:rPr>
        <w:t>nning process. If you had/have nothing to disclose you must indicate so, on the slide with a single line that reads. “</w:t>
      </w:r>
      <w:r w:rsidRPr="00827376">
        <w:rPr>
          <w:rFonts w:asciiTheme="minorHAnsi" w:hAnsiTheme="minorHAnsi" w:cstheme="minorHAnsi"/>
          <w:i/>
        </w:rPr>
        <w:t>I have no financial disclosure relevant to this topic</w:t>
      </w:r>
      <w:r w:rsidRPr="00827376">
        <w:rPr>
          <w:rFonts w:asciiTheme="minorHAnsi" w:hAnsiTheme="minorHAnsi" w:cstheme="minorHAnsi"/>
        </w:rPr>
        <w:t>”</w:t>
      </w:r>
    </w:p>
    <w:p w14:paraId="42933A4C" w14:textId="77777777" w:rsidR="00C62737" w:rsidRPr="00827376" w:rsidRDefault="00591823">
      <w:pPr>
        <w:pStyle w:val="BodyText"/>
        <w:spacing w:before="126"/>
        <w:ind w:left="119"/>
        <w:rPr>
          <w:rFonts w:asciiTheme="minorHAnsi" w:hAnsiTheme="minorHAnsi" w:cstheme="minorHAnsi"/>
          <w:b/>
          <w:bCs/>
          <w:color w:val="31849B" w:themeColor="accent5" w:themeShade="BF"/>
          <w:sz w:val="24"/>
          <w:szCs w:val="24"/>
        </w:rPr>
      </w:pPr>
      <w:r w:rsidRPr="00827376">
        <w:rPr>
          <w:rFonts w:asciiTheme="minorHAnsi" w:hAnsiTheme="minorHAnsi" w:cstheme="minorHAnsi"/>
          <w:b/>
          <w:bCs/>
          <w:color w:val="31849B" w:themeColor="accent5" w:themeShade="BF"/>
          <w:sz w:val="24"/>
          <w:szCs w:val="24"/>
          <w:u w:val="single"/>
        </w:rPr>
        <w:t>Learning Objectives</w:t>
      </w:r>
    </w:p>
    <w:p w14:paraId="42933A4D" w14:textId="77777777" w:rsidR="00C62737" w:rsidRPr="00827376" w:rsidRDefault="00591823">
      <w:pPr>
        <w:pStyle w:val="BodyText"/>
        <w:spacing w:before="1"/>
        <w:ind w:left="119" w:right="222"/>
        <w:rPr>
          <w:rFonts w:asciiTheme="minorHAnsi" w:hAnsiTheme="minorHAnsi" w:cstheme="minorHAnsi"/>
        </w:rPr>
      </w:pPr>
      <w:r w:rsidRPr="00827376">
        <w:rPr>
          <w:rFonts w:asciiTheme="minorHAnsi" w:hAnsiTheme="minorHAnsi" w:cstheme="minorHAnsi"/>
        </w:rPr>
        <w:t xml:space="preserve">Your presentation should have 1-2 learning objectives that are </w:t>
      </w:r>
      <w:r w:rsidRPr="00827376">
        <w:rPr>
          <w:rFonts w:asciiTheme="minorHAnsi" w:hAnsiTheme="minorHAnsi" w:cstheme="minorHAnsi"/>
        </w:rPr>
        <w:t>specific to the content you plan to present. Objectives should be framed in terms of how the program will help learners to effect beneficial change in their practice or professional role; and/or promote improvements to medical quality and/or patient outcom</w:t>
      </w:r>
      <w:r w:rsidRPr="00827376">
        <w:rPr>
          <w:rFonts w:asciiTheme="minorHAnsi" w:hAnsiTheme="minorHAnsi" w:cstheme="minorHAnsi"/>
        </w:rPr>
        <w:t>es. It’s a good idea to include the objectives in your slides at the beginning of your presentation; this facilitates the learning process and provides learners with a metric by which to evaluate the success of the educational program.</w:t>
      </w:r>
    </w:p>
    <w:p w14:paraId="42933A4E" w14:textId="77777777" w:rsidR="00C62737" w:rsidRPr="00591823" w:rsidRDefault="00C62737">
      <w:pPr>
        <w:pStyle w:val="BodyText"/>
        <w:spacing w:before="11"/>
        <w:rPr>
          <w:rFonts w:asciiTheme="minorHAnsi" w:hAnsiTheme="minorHAnsi" w:cstheme="minorHAnsi"/>
          <w:szCs w:val="16"/>
        </w:rPr>
      </w:pPr>
    </w:p>
    <w:p w14:paraId="42933A4F" w14:textId="77777777" w:rsidR="00C62737" w:rsidRPr="00827376" w:rsidRDefault="00591823">
      <w:pPr>
        <w:pStyle w:val="BodyText"/>
        <w:ind w:left="119"/>
        <w:rPr>
          <w:rFonts w:asciiTheme="minorHAnsi" w:hAnsiTheme="minorHAnsi" w:cstheme="minorHAnsi"/>
          <w:b/>
          <w:bCs/>
          <w:color w:val="31849B" w:themeColor="accent5" w:themeShade="BF"/>
          <w:sz w:val="24"/>
          <w:szCs w:val="24"/>
        </w:rPr>
      </w:pPr>
      <w:r w:rsidRPr="00827376">
        <w:rPr>
          <w:rFonts w:asciiTheme="minorHAnsi" w:hAnsiTheme="minorHAnsi" w:cstheme="minorHAnsi"/>
          <w:b/>
          <w:bCs/>
          <w:color w:val="31849B" w:themeColor="accent5" w:themeShade="BF"/>
          <w:sz w:val="24"/>
          <w:szCs w:val="24"/>
          <w:u w:val="single"/>
        </w:rPr>
        <w:t>Developing Educatio</w:t>
      </w:r>
      <w:r w:rsidRPr="00827376">
        <w:rPr>
          <w:rFonts w:asciiTheme="minorHAnsi" w:hAnsiTheme="minorHAnsi" w:cstheme="minorHAnsi"/>
          <w:b/>
          <w:bCs/>
          <w:color w:val="31849B" w:themeColor="accent5" w:themeShade="BF"/>
          <w:sz w:val="24"/>
          <w:szCs w:val="24"/>
          <w:u w:val="single"/>
        </w:rPr>
        <w:t>nal Content</w:t>
      </w:r>
    </w:p>
    <w:p w14:paraId="42933A50" w14:textId="77777777" w:rsidR="00C62737" w:rsidRPr="009B78C1" w:rsidRDefault="00591823">
      <w:pPr>
        <w:spacing w:before="1" w:line="252" w:lineRule="exact"/>
        <w:ind w:left="119"/>
        <w:rPr>
          <w:rFonts w:asciiTheme="minorHAnsi" w:hAnsiTheme="minorHAnsi" w:cstheme="minorHAnsi"/>
          <w:b/>
          <w:bCs/>
          <w:i/>
        </w:rPr>
      </w:pPr>
      <w:r w:rsidRPr="009B78C1">
        <w:rPr>
          <w:rFonts w:asciiTheme="minorHAnsi" w:hAnsiTheme="minorHAnsi" w:cstheme="minorHAnsi"/>
          <w:b/>
          <w:bCs/>
          <w:i/>
        </w:rPr>
        <w:t>--Physician Competencies</w:t>
      </w:r>
    </w:p>
    <w:p w14:paraId="42933A51" w14:textId="77777777" w:rsidR="00C62737" w:rsidRPr="00827376" w:rsidRDefault="00591823">
      <w:pPr>
        <w:pStyle w:val="BodyText"/>
        <w:ind w:left="119" w:right="198"/>
        <w:rPr>
          <w:rFonts w:asciiTheme="minorHAnsi" w:hAnsiTheme="minorHAnsi" w:cstheme="minorHAnsi"/>
        </w:rPr>
      </w:pPr>
      <w:r w:rsidRPr="00827376">
        <w:rPr>
          <w:rFonts w:asciiTheme="minorHAnsi" w:hAnsiTheme="minorHAnsi" w:cstheme="minorHAnsi"/>
        </w:rPr>
        <w:t xml:space="preserve">The CME Program adheres to the ACCME’s expectation that educational activities will be developed in the context of </w:t>
      </w:r>
      <w:r w:rsidRPr="00827376">
        <w:rPr>
          <w:rFonts w:asciiTheme="minorHAnsi" w:hAnsiTheme="minorHAnsi" w:cstheme="minorHAnsi"/>
          <w:i/>
        </w:rPr>
        <w:t>desirable physician attributes (competencies)</w:t>
      </w:r>
      <w:r w:rsidRPr="00827376">
        <w:rPr>
          <w:rFonts w:asciiTheme="minorHAnsi" w:hAnsiTheme="minorHAnsi" w:cstheme="minorHAnsi"/>
        </w:rPr>
        <w:t>. In other words, physicians should be able to utilize know</w:t>
      </w:r>
      <w:r w:rsidRPr="00827376">
        <w:rPr>
          <w:rFonts w:asciiTheme="minorHAnsi" w:hAnsiTheme="minorHAnsi" w:cstheme="minorHAnsi"/>
        </w:rPr>
        <w:t>ledge and skills gained in the session, within the framework of the identified competencies. Competencies identified by the Education Committee are listed below.</w:t>
      </w:r>
    </w:p>
    <w:p w14:paraId="42933A52" w14:textId="77777777" w:rsidR="00C62737" w:rsidRPr="009B78C1" w:rsidRDefault="00591823">
      <w:pPr>
        <w:spacing w:before="1" w:line="252" w:lineRule="exact"/>
        <w:ind w:left="119"/>
        <w:rPr>
          <w:rFonts w:asciiTheme="minorHAnsi" w:hAnsiTheme="minorHAnsi" w:cstheme="minorHAnsi"/>
          <w:b/>
          <w:bCs/>
          <w:i/>
        </w:rPr>
      </w:pPr>
      <w:r w:rsidRPr="009B78C1">
        <w:rPr>
          <w:rFonts w:asciiTheme="minorHAnsi" w:hAnsiTheme="minorHAnsi" w:cstheme="minorHAnsi"/>
          <w:b/>
          <w:bCs/>
          <w:i/>
        </w:rPr>
        <w:t>--Content Validation</w:t>
      </w:r>
    </w:p>
    <w:p w14:paraId="42933A53" w14:textId="77777777" w:rsidR="00C62737" w:rsidRPr="00827376" w:rsidRDefault="00591823">
      <w:pPr>
        <w:pStyle w:val="BodyText"/>
        <w:ind w:left="119" w:right="148"/>
        <w:rPr>
          <w:rFonts w:asciiTheme="minorHAnsi" w:hAnsiTheme="minorHAnsi" w:cstheme="minorHAnsi"/>
        </w:rPr>
      </w:pPr>
      <w:r w:rsidRPr="00827376">
        <w:rPr>
          <w:rFonts w:asciiTheme="minorHAnsi" w:hAnsiTheme="minorHAnsi" w:cstheme="minorHAnsi"/>
        </w:rPr>
        <w:t xml:space="preserve">The CME Program requires that </w:t>
      </w:r>
      <w:proofErr w:type="gramStart"/>
      <w:r w:rsidRPr="00827376">
        <w:rPr>
          <w:rFonts w:asciiTheme="minorHAnsi" w:hAnsiTheme="minorHAnsi" w:cstheme="minorHAnsi"/>
        </w:rPr>
        <w:t>all of</w:t>
      </w:r>
      <w:proofErr w:type="gramEnd"/>
      <w:r w:rsidRPr="00827376">
        <w:rPr>
          <w:rFonts w:asciiTheme="minorHAnsi" w:hAnsiTheme="minorHAnsi" w:cstheme="minorHAnsi"/>
        </w:rPr>
        <w:t xml:space="preserve"> its programs adhere to </w:t>
      </w:r>
      <w:r w:rsidRPr="00827376">
        <w:rPr>
          <w:rFonts w:asciiTheme="minorHAnsi" w:hAnsiTheme="minorHAnsi" w:cstheme="minorHAnsi"/>
          <w:i/>
        </w:rPr>
        <w:t>ACCME’s conte</w:t>
      </w:r>
      <w:r w:rsidRPr="00827376">
        <w:rPr>
          <w:rFonts w:asciiTheme="minorHAnsi" w:hAnsiTheme="minorHAnsi" w:cstheme="minorHAnsi"/>
          <w:i/>
        </w:rPr>
        <w:t xml:space="preserve">nt validation value statements </w:t>
      </w:r>
      <w:r w:rsidRPr="00827376">
        <w:rPr>
          <w:rFonts w:asciiTheme="minorHAnsi" w:hAnsiTheme="minorHAnsi" w:cstheme="minorHAnsi"/>
        </w:rPr>
        <w:t>(see below) by making clinical recommendations that are evidence-based and supported by scientific research of sound experimental design, data collection and analysis.</w:t>
      </w:r>
    </w:p>
    <w:p w14:paraId="42933A54" w14:textId="77777777" w:rsidR="00C62737" w:rsidRPr="009B78C1" w:rsidRDefault="00591823">
      <w:pPr>
        <w:spacing w:line="252" w:lineRule="exact"/>
        <w:ind w:left="119"/>
        <w:rPr>
          <w:rFonts w:asciiTheme="minorHAnsi" w:hAnsiTheme="minorHAnsi" w:cstheme="minorHAnsi"/>
          <w:b/>
          <w:bCs/>
          <w:i/>
        </w:rPr>
      </w:pPr>
      <w:r w:rsidRPr="009B78C1">
        <w:rPr>
          <w:rFonts w:asciiTheme="minorHAnsi" w:hAnsiTheme="minorHAnsi" w:cstheme="minorHAnsi"/>
          <w:b/>
          <w:bCs/>
          <w:i/>
        </w:rPr>
        <w:t>--Strategies to Ensure Valid CME Content:</w:t>
      </w:r>
    </w:p>
    <w:p w14:paraId="42933A55" w14:textId="77777777" w:rsidR="00C62737" w:rsidRPr="00827376" w:rsidRDefault="00591823">
      <w:pPr>
        <w:pStyle w:val="ListParagraph"/>
        <w:numPr>
          <w:ilvl w:val="0"/>
          <w:numId w:val="1"/>
        </w:numPr>
        <w:tabs>
          <w:tab w:val="left" w:pos="519"/>
          <w:tab w:val="left" w:pos="520"/>
        </w:tabs>
        <w:spacing w:line="262" w:lineRule="exact"/>
        <w:rPr>
          <w:rFonts w:asciiTheme="minorHAnsi" w:hAnsiTheme="minorHAnsi" w:cstheme="minorHAnsi"/>
        </w:rPr>
      </w:pPr>
      <w:r w:rsidRPr="00827376">
        <w:rPr>
          <w:rFonts w:asciiTheme="minorHAnsi" w:hAnsiTheme="minorHAnsi" w:cstheme="minorHAnsi"/>
        </w:rPr>
        <w:t>Providing a bal</w:t>
      </w:r>
      <w:r w:rsidRPr="00827376">
        <w:rPr>
          <w:rFonts w:asciiTheme="minorHAnsi" w:hAnsiTheme="minorHAnsi" w:cstheme="minorHAnsi"/>
        </w:rPr>
        <w:t>anced view of the therapeutic</w:t>
      </w:r>
      <w:r w:rsidRPr="00827376">
        <w:rPr>
          <w:rFonts w:asciiTheme="minorHAnsi" w:hAnsiTheme="minorHAnsi" w:cstheme="minorHAnsi"/>
          <w:spacing w:val="-1"/>
        </w:rPr>
        <w:t xml:space="preserve"> </w:t>
      </w:r>
      <w:r w:rsidRPr="00827376">
        <w:rPr>
          <w:rFonts w:asciiTheme="minorHAnsi" w:hAnsiTheme="minorHAnsi" w:cstheme="minorHAnsi"/>
        </w:rPr>
        <w:t>options</w:t>
      </w:r>
    </w:p>
    <w:p w14:paraId="42933A56" w14:textId="77777777" w:rsidR="00C62737" w:rsidRPr="00827376" w:rsidRDefault="00591823">
      <w:pPr>
        <w:pStyle w:val="ListParagraph"/>
        <w:numPr>
          <w:ilvl w:val="0"/>
          <w:numId w:val="1"/>
        </w:numPr>
        <w:tabs>
          <w:tab w:val="left" w:pos="519"/>
          <w:tab w:val="left" w:pos="520"/>
        </w:tabs>
        <w:spacing w:before="3" w:line="223" w:lineRule="auto"/>
        <w:ind w:right="1428" w:hanging="360"/>
        <w:rPr>
          <w:rFonts w:asciiTheme="minorHAnsi" w:hAnsiTheme="minorHAnsi" w:cstheme="minorHAnsi"/>
        </w:rPr>
      </w:pPr>
      <w:r w:rsidRPr="00827376">
        <w:rPr>
          <w:rFonts w:asciiTheme="minorHAnsi" w:hAnsiTheme="minorHAnsi" w:cstheme="minorHAnsi"/>
        </w:rPr>
        <w:t>Describing the evidence base and the strength of the evidence used to support clinical recommendations</w:t>
      </w:r>
    </w:p>
    <w:p w14:paraId="51BB5FEB" w14:textId="77777777" w:rsidR="001C168F" w:rsidRDefault="00591823" w:rsidP="001C168F">
      <w:pPr>
        <w:pStyle w:val="ListParagraph"/>
        <w:numPr>
          <w:ilvl w:val="0"/>
          <w:numId w:val="1"/>
        </w:numPr>
        <w:tabs>
          <w:tab w:val="left" w:pos="519"/>
          <w:tab w:val="left" w:pos="520"/>
        </w:tabs>
        <w:spacing w:before="3" w:line="263" w:lineRule="exact"/>
        <w:rPr>
          <w:rFonts w:asciiTheme="minorHAnsi" w:hAnsiTheme="minorHAnsi" w:cstheme="minorHAnsi"/>
        </w:rPr>
      </w:pPr>
      <w:r w:rsidRPr="00827376">
        <w:rPr>
          <w:rFonts w:asciiTheme="minorHAnsi" w:hAnsiTheme="minorHAnsi" w:cstheme="minorHAnsi"/>
        </w:rPr>
        <w:t>Ensuring that educational materials do not contain product advertising or product-group</w:t>
      </w:r>
      <w:r w:rsidRPr="00827376">
        <w:rPr>
          <w:rFonts w:asciiTheme="minorHAnsi" w:hAnsiTheme="minorHAnsi" w:cstheme="minorHAnsi"/>
          <w:spacing w:val="-16"/>
        </w:rPr>
        <w:t xml:space="preserve"> </w:t>
      </w:r>
      <w:r w:rsidRPr="00827376">
        <w:rPr>
          <w:rFonts w:asciiTheme="minorHAnsi" w:hAnsiTheme="minorHAnsi" w:cstheme="minorHAnsi"/>
        </w:rPr>
        <w:t>messages</w:t>
      </w:r>
    </w:p>
    <w:p w14:paraId="6B77B1A0" w14:textId="77777777" w:rsidR="001C168F" w:rsidRDefault="001C168F" w:rsidP="001C168F">
      <w:pPr>
        <w:pStyle w:val="ListParagraph"/>
        <w:numPr>
          <w:ilvl w:val="0"/>
          <w:numId w:val="1"/>
        </w:numPr>
        <w:tabs>
          <w:tab w:val="left" w:pos="519"/>
          <w:tab w:val="left" w:pos="520"/>
        </w:tabs>
        <w:spacing w:before="3" w:line="263" w:lineRule="exact"/>
        <w:rPr>
          <w:rFonts w:asciiTheme="minorHAnsi" w:hAnsiTheme="minorHAnsi" w:cstheme="minorHAnsi"/>
        </w:rPr>
      </w:pPr>
      <w:r w:rsidRPr="001C168F">
        <w:rPr>
          <w:rFonts w:asciiTheme="minorHAnsi" w:hAnsiTheme="minorHAnsi" w:cstheme="minorHAnsi"/>
        </w:rPr>
        <w:t xml:space="preserve">Presentations must give a balanced view of therapeutic options. Use of generic names will contribute to this impartiality. If the CME educational material or content includes trade names, where available trade names from several companies should be used, not just trade names from a single company.  </w:t>
      </w:r>
    </w:p>
    <w:p w14:paraId="1F805339" w14:textId="77777777" w:rsidR="00591823" w:rsidRDefault="001C168F" w:rsidP="001C168F">
      <w:pPr>
        <w:tabs>
          <w:tab w:val="left" w:pos="519"/>
          <w:tab w:val="left" w:pos="520"/>
        </w:tabs>
        <w:spacing w:before="3" w:line="263" w:lineRule="exact"/>
        <w:rPr>
          <w:rFonts w:asciiTheme="minorHAnsi" w:hAnsiTheme="minorHAnsi" w:cstheme="minorHAnsi"/>
          <w:b/>
          <w:bCs/>
          <w:color w:val="31849B" w:themeColor="accent5" w:themeShade="BF"/>
          <w:sz w:val="24"/>
          <w:szCs w:val="24"/>
        </w:rPr>
      </w:pPr>
      <w:r w:rsidRPr="001C168F">
        <w:rPr>
          <w:rFonts w:asciiTheme="minorHAnsi" w:hAnsiTheme="minorHAnsi" w:cstheme="minorHAnsi"/>
          <w:b/>
          <w:bCs/>
          <w:color w:val="31849B" w:themeColor="accent5" w:themeShade="BF"/>
          <w:sz w:val="24"/>
          <w:szCs w:val="24"/>
        </w:rPr>
        <w:t xml:space="preserve"> </w:t>
      </w:r>
    </w:p>
    <w:p w14:paraId="42933A59" w14:textId="1905736C" w:rsidR="00C62737" w:rsidRPr="001C168F" w:rsidRDefault="00591823" w:rsidP="001C168F">
      <w:pPr>
        <w:tabs>
          <w:tab w:val="left" w:pos="519"/>
          <w:tab w:val="left" w:pos="520"/>
        </w:tabs>
        <w:spacing w:before="3" w:line="263" w:lineRule="exact"/>
        <w:rPr>
          <w:rFonts w:asciiTheme="minorHAnsi" w:hAnsiTheme="minorHAnsi" w:cstheme="minorHAnsi"/>
        </w:rPr>
      </w:pPr>
      <w:r>
        <w:rPr>
          <w:rFonts w:asciiTheme="minorHAnsi" w:hAnsiTheme="minorHAnsi" w:cstheme="minorHAnsi"/>
          <w:b/>
          <w:bCs/>
          <w:color w:val="31849B" w:themeColor="accent5" w:themeShade="BF"/>
          <w:sz w:val="24"/>
          <w:szCs w:val="24"/>
        </w:rPr>
        <w:t xml:space="preserve"> </w:t>
      </w:r>
      <w:r w:rsidRPr="001C168F">
        <w:rPr>
          <w:rFonts w:asciiTheme="minorHAnsi" w:hAnsiTheme="minorHAnsi" w:cstheme="minorHAnsi"/>
          <w:b/>
          <w:bCs/>
          <w:color w:val="31849B" w:themeColor="accent5" w:themeShade="BF"/>
          <w:sz w:val="24"/>
          <w:szCs w:val="24"/>
          <w:u w:val="single"/>
        </w:rPr>
        <w:t>Teaching Materials/Handouts</w:t>
      </w:r>
    </w:p>
    <w:p w14:paraId="42933A5A" w14:textId="77777777" w:rsidR="00C62737" w:rsidRPr="00827376" w:rsidRDefault="00591823">
      <w:pPr>
        <w:ind w:left="119" w:right="136"/>
        <w:rPr>
          <w:rFonts w:asciiTheme="minorHAnsi" w:hAnsiTheme="minorHAnsi" w:cstheme="minorHAnsi"/>
          <w:b/>
          <w:i/>
        </w:rPr>
      </w:pPr>
      <w:r w:rsidRPr="00827376">
        <w:rPr>
          <w:rFonts w:asciiTheme="minorHAnsi" w:hAnsiTheme="minorHAnsi" w:cstheme="minorHAnsi"/>
        </w:rPr>
        <w:t xml:space="preserve">Please provide a brief description of any resources, references and other teaching tools you plan to use as session handouts, in addition to your slides. </w:t>
      </w:r>
      <w:r w:rsidRPr="00827376">
        <w:rPr>
          <w:rFonts w:asciiTheme="minorHAnsi" w:hAnsiTheme="minorHAnsi" w:cstheme="minorHAnsi"/>
          <w:b/>
          <w:i/>
        </w:rPr>
        <w:t>You will be asked to submit han</w:t>
      </w:r>
      <w:r w:rsidRPr="00827376">
        <w:rPr>
          <w:rFonts w:asciiTheme="minorHAnsi" w:hAnsiTheme="minorHAnsi" w:cstheme="minorHAnsi"/>
          <w:b/>
          <w:i/>
        </w:rPr>
        <w:t>douts and slides approximately two months prior to the presentation, for screening of any potential commercial biases or conflict.</w:t>
      </w:r>
    </w:p>
    <w:p w14:paraId="42933A5B" w14:textId="77777777" w:rsidR="00C62737" w:rsidRPr="00827376" w:rsidRDefault="00C62737">
      <w:pPr>
        <w:pStyle w:val="BodyText"/>
        <w:rPr>
          <w:rFonts w:asciiTheme="minorHAnsi" w:hAnsiTheme="minorHAnsi" w:cstheme="minorHAnsi"/>
          <w:b/>
          <w:i/>
          <w:sz w:val="24"/>
        </w:rPr>
      </w:pPr>
    </w:p>
    <w:p w14:paraId="42933A5C" w14:textId="77777777" w:rsidR="00C62737" w:rsidRPr="00827376" w:rsidRDefault="00591823">
      <w:pPr>
        <w:pStyle w:val="Heading1"/>
        <w:rPr>
          <w:rFonts w:asciiTheme="minorHAnsi" w:hAnsiTheme="minorHAnsi" w:cstheme="minorHAnsi"/>
          <w:color w:val="31849B" w:themeColor="accent5" w:themeShade="BF"/>
        </w:rPr>
      </w:pPr>
      <w:r w:rsidRPr="00827376">
        <w:rPr>
          <w:rFonts w:asciiTheme="minorHAnsi" w:hAnsiTheme="minorHAnsi" w:cstheme="minorHAnsi"/>
          <w:color w:val="31849B" w:themeColor="accent5" w:themeShade="BF"/>
        </w:rPr>
        <w:t>Desirable Physician Attributes (Competencies)</w:t>
      </w:r>
    </w:p>
    <w:p w14:paraId="42933A5D" w14:textId="77777777" w:rsidR="00C62737" w:rsidRPr="00827376" w:rsidRDefault="00591823">
      <w:pPr>
        <w:pStyle w:val="BodyText"/>
        <w:ind w:left="119" w:right="123"/>
        <w:rPr>
          <w:rFonts w:asciiTheme="minorHAnsi" w:hAnsiTheme="minorHAnsi" w:cstheme="minorHAnsi"/>
        </w:rPr>
      </w:pPr>
      <w:r w:rsidRPr="00827376">
        <w:rPr>
          <w:rFonts w:asciiTheme="minorHAnsi" w:hAnsiTheme="minorHAnsi" w:cstheme="minorHAnsi"/>
        </w:rPr>
        <w:t>Effective CME programs are designed to address the need of physicians for life</w:t>
      </w:r>
      <w:r w:rsidRPr="00827376">
        <w:rPr>
          <w:rFonts w:asciiTheme="minorHAnsi" w:hAnsiTheme="minorHAnsi" w:cstheme="minorHAnsi"/>
        </w:rPr>
        <w:t>-long learning and growth in professional competencies identified as fundamental to the delivery of patient care that is effective, ethical and subject to continuous self-assessment and improvement (see IOM and AMBS Competencies, below). The educational pr</w:t>
      </w:r>
      <w:r w:rsidRPr="00827376">
        <w:rPr>
          <w:rFonts w:asciiTheme="minorHAnsi" w:hAnsiTheme="minorHAnsi" w:cstheme="minorHAnsi"/>
        </w:rPr>
        <w:t xml:space="preserve">ogram seeks to help participants </w:t>
      </w:r>
      <w:r w:rsidRPr="00827376">
        <w:rPr>
          <w:rFonts w:asciiTheme="minorHAnsi" w:hAnsiTheme="minorHAnsi" w:cstheme="minorHAnsi"/>
          <w:i/>
        </w:rPr>
        <w:t xml:space="preserve">continuously grow in these competencies </w:t>
      </w:r>
      <w:r w:rsidRPr="00827376">
        <w:rPr>
          <w:rFonts w:asciiTheme="minorHAnsi" w:hAnsiTheme="minorHAnsi" w:cstheme="minorHAnsi"/>
        </w:rPr>
        <w:t xml:space="preserve">by incorporating into program planning a </w:t>
      </w:r>
      <w:r w:rsidRPr="00827376">
        <w:rPr>
          <w:rFonts w:asciiTheme="minorHAnsi" w:hAnsiTheme="minorHAnsi" w:cstheme="minorHAnsi"/>
          <w:i/>
        </w:rPr>
        <w:t>competence-based contex</w:t>
      </w:r>
      <w:r w:rsidRPr="00827376">
        <w:rPr>
          <w:rFonts w:asciiTheme="minorHAnsi" w:hAnsiTheme="minorHAnsi" w:cstheme="minorHAnsi"/>
        </w:rPr>
        <w:t>t for the content to be</w:t>
      </w:r>
    </w:p>
    <w:p w14:paraId="42933A5E" w14:textId="77777777" w:rsidR="00C62737" w:rsidRPr="00827376" w:rsidRDefault="00C62737">
      <w:pPr>
        <w:pStyle w:val="BodyText"/>
        <w:rPr>
          <w:rFonts w:asciiTheme="minorHAnsi" w:hAnsiTheme="minorHAnsi" w:cstheme="minorHAnsi"/>
          <w:sz w:val="18"/>
        </w:rPr>
      </w:pPr>
    </w:p>
    <w:p w14:paraId="42933A61" w14:textId="77777777" w:rsidR="00C62737" w:rsidRPr="00827376" w:rsidRDefault="00591823">
      <w:pPr>
        <w:pStyle w:val="BodyText"/>
        <w:spacing w:before="65"/>
        <w:ind w:left="119" w:right="479"/>
        <w:rPr>
          <w:rFonts w:asciiTheme="minorHAnsi" w:hAnsiTheme="minorHAnsi" w:cstheme="minorHAnsi"/>
        </w:rPr>
      </w:pPr>
      <w:r w:rsidRPr="00827376">
        <w:rPr>
          <w:rFonts w:asciiTheme="minorHAnsi" w:hAnsiTheme="minorHAnsi" w:cstheme="minorHAnsi"/>
        </w:rPr>
        <w:t>delivered – that is, for the information, resources, interaction and skills practice needed to assimilate and utilize in practice the outcomes of NRG’s research program.</w:t>
      </w:r>
    </w:p>
    <w:p w14:paraId="42933A62" w14:textId="77777777" w:rsidR="00C62737" w:rsidRPr="00827376" w:rsidRDefault="00591823">
      <w:pPr>
        <w:pStyle w:val="BodyText"/>
        <w:spacing w:before="127"/>
        <w:ind w:left="119"/>
        <w:rPr>
          <w:rFonts w:asciiTheme="minorHAnsi" w:hAnsiTheme="minorHAnsi" w:cstheme="minorHAnsi"/>
          <w:b/>
          <w:bCs/>
          <w:color w:val="31849B" w:themeColor="accent5" w:themeShade="BF"/>
          <w:sz w:val="24"/>
          <w:szCs w:val="24"/>
        </w:rPr>
      </w:pPr>
      <w:r w:rsidRPr="00827376">
        <w:rPr>
          <w:rFonts w:asciiTheme="minorHAnsi" w:hAnsiTheme="minorHAnsi" w:cstheme="minorHAnsi"/>
          <w:b/>
          <w:bCs/>
          <w:color w:val="31849B" w:themeColor="accent5" w:themeShade="BF"/>
          <w:sz w:val="24"/>
          <w:szCs w:val="24"/>
          <w:u w:val="single"/>
        </w:rPr>
        <w:t>IOM Competencies</w:t>
      </w:r>
    </w:p>
    <w:p w14:paraId="42933A63" w14:textId="77777777" w:rsidR="00C62737" w:rsidRPr="00827376" w:rsidRDefault="00591823">
      <w:pPr>
        <w:pStyle w:val="BodyText"/>
        <w:ind w:left="119" w:right="491"/>
        <w:rPr>
          <w:rFonts w:asciiTheme="minorHAnsi" w:hAnsiTheme="minorHAnsi" w:cstheme="minorHAnsi"/>
        </w:rPr>
      </w:pPr>
      <w:r w:rsidRPr="00827376">
        <w:rPr>
          <w:rFonts w:asciiTheme="minorHAnsi" w:hAnsiTheme="minorHAnsi" w:cstheme="minorHAnsi"/>
        </w:rPr>
        <w:t>The Institute of Medicine (IOM) has identified 5 Core Competencies th</w:t>
      </w:r>
      <w:r w:rsidRPr="00827376">
        <w:rPr>
          <w:rFonts w:asciiTheme="minorHAnsi" w:hAnsiTheme="minorHAnsi" w:cstheme="minorHAnsi"/>
        </w:rPr>
        <w:t>at are believed to improve the quality and safety of patient care. Practitioners must: provide patient-centered care (PCC), work in interdisciplinary teams (IT), employ evidence-based practice (EBP), apply quality improvement (QI) techniques, and utilize i</w:t>
      </w:r>
      <w:r w:rsidRPr="00827376">
        <w:rPr>
          <w:rFonts w:asciiTheme="minorHAnsi" w:hAnsiTheme="minorHAnsi" w:cstheme="minorHAnsi"/>
        </w:rPr>
        <w:t>nformatics.</w:t>
      </w:r>
    </w:p>
    <w:p w14:paraId="42933A64" w14:textId="77777777" w:rsidR="00C62737" w:rsidRPr="00827376" w:rsidRDefault="00591823">
      <w:pPr>
        <w:pStyle w:val="BodyText"/>
        <w:spacing w:before="146" w:line="252" w:lineRule="exact"/>
        <w:ind w:left="119"/>
        <w:rPr>
          <w:rFonts w:asciiTheme="minorHAnsi" w:hAnsiTheme="minorHAnsi" w:cstheme="minorHAnsi"/>
          <w:b/>
          <w:bCs/>
          <w:color w:val="31849B" w:themeColor="accent5" w:themeShade="BF"/>
          <w:sz w:val="24"/>
          <w:szCs w:val="24"/>
        </w:rPr>
      </w:pPr>
      <w:r w:rsidRPr="00827376">
        <w:rPr>
          <w:rFonts w:asciiTheme="minorHAnsi" w:hAnsiTheme="minorHAnsi" w:cstheme="minorHAnsi"/>
          <w:b/>
          <w:bCs/>
          <w:color w:val="31849B" w:themeColor="accent5" w:themeShade="BF"/>
          <w:sz w:val="24"/>
          <w:szCs w:val="24"/>
          <w:u w:val="single"/>
        </w:rPr>
        <w:t>ABMS Competencies and Criteria</w:t>
      </w:r>
    </w:p>
    <w:p w14:paraId="42933A65" w14:textId="77777777" w:rsidR="00C62737" w:rsidRPr="00827376" w:rsidRDefault="00591823">
      <w:pPr>
        <w:pStyle w:val="BodyText"/>
        <w:ind w:left="119" w:right="352"/>
        <w:rPr>
          <w:rFonts w:asciiTheme="minorHAnsi" w:hAnsiTheme="minorHAnsi" w:cstheme="minorHAnsi"/>
        </w:rPr>
      </w:pPr>
      <w:r w:rsidRPr="00827376">
        <w:rPr>
          <w:rFonts w:asciiTheme="minorHAnsi" w:hAnsiTheme="minorHAnsi" w:cstheme="minorHAnsi"/>
        </w:rPr>
        <w:t xml:space="preserve">Through ABMS' Maintenance of Certification (MOC) process, board certified physicians in </w:t>
      </w:r>
      <w:r w:rsidRPr="00827376">
        <w:rPr>
          <w:rFonts w:asciiTheme="minorHAnsi" w:hAnsiTheme="minorHAnsi" w:cstheme="minorHAnsi"/>
          <w:color w:val="659ACC"/>
        </w:rPr>
        <w:t xml:space="preserve">24 medical specialties </w:t>
      </w:r>
      <w:r w:rsidRPr="00827376">
        <w:rPr>
          <w:rFonts w:asciiTheme="minorHAnsi" w:hAnsiTheme="minorHAnsi" w:cstheme="minorHAnsi"/>
        </w:rPr>
        <w:t>build six core competencies for quality patient care in their medical specialty. These competencies were first adopted by the Accreditation Council for Graduate Medical Education (ACGME) and ABMS in 1999.</w:t>
      </w:r>
    </w:p>
    <w:p w14:paraId="42933A66" w14:textId="77777777" w:rsidR="00C62737" w:rsidRPr="00827376" w:rsidRDefault="00591823">
      <w:pPr>
        <w:pStyle w:val="ListParagraph"/>
        <w:numPr>
          <w:ilvl w:val="1"/>
          <w:numId w:val="1"/>
        </w:numPr>
        <w:tabs>
          <w:tab w:val="left" w:pos="839"/>
          <w:tab w:val="left" w:pos="840"/>
        </w:tabs>
        <w:spacing w:before="14" w:line="223" w:lineRule="auto"/>
        <w:ind w:right="205"/>
        <w:rPr>
          <w:rFonts w:asciiTheme="minorHAnsi" w:hAnsiTheme="minorHAnsi" w:cstheme="minorHAnsi"/>
        </w:rPr>
      </w:pPr>
      <w:r w:rsidRPr="00827376">
        <w:rPr>
          <w:rFonts w:asciiTheme="minorHAnsi" w:hAnsiTheme="minorHAnsi" w:cstheme="minorHAnsi"/>
          <w:b/>
        </w:rPr>
        <w:t>Patient Care</w:t>
      </w:r>
      <w:r w:rsidRPr="00827376">
        <w:rPr>
          <w:rFonts w:asciiTheme="minorHAnsi" w:hAnsiTheme="minorHAnsi" w:cstheme="minorHAnsi"/>
        </w:rPr>
        <w:t>-Provide care that is compassionate, ap</w:t>
      </w:r>
      <w:r w:rsidRPr="00827376">
        <w:rPr>
          <w:rFonts w:asciiTheme="minorHAnsi" w:hAnsiTheme="minorHAnsi" w:cstheme="minorHAnsi"/>
        </w:rPr>
        <w:t>propriate and effective treatment for health problems and to promote</w:t>
      </w:r>
      <w:r w:rsidRPr="00827376">
        <w:rPr>
          <w:rFonts w:asciiTheme="minorHAnsi" w:hAnsiTheme="minorHAnsi" w:cstheme="minorHAnsi"/>
          <w:spacing w:val="-1"/>
        </w:rPr>
        <w:t xml:space="preserve"> </w:t>
      </w:r>
      <w:r w:rsidRPr="00827376">
        <w:rPr>
          <w:rFonts w:asciiTheme="minorHAnsi" w:hAnsiTheme="minorHAnsi" w:cstheme="minorHAnsi"/>
        </w:rPr>
        <w:t>health.</w:t>
      </w:r>
    </w:p>
    <w:p w14:paraId="42933A67" w14:textId="77777777" w:rsidR="00C62737" w:rsidRPr="00827376" w:rsidRDefault="00591823">
      <w:pPr>
        <w:pStyle w:val="ListParagraph"/>
        <w:numPr>
          <w:ilvl w:val="1"/>
          <w:numId w:val="1"/>
        </w:numPr>
        <w:tabs>
          <w:tab w:val="left" w:pos="839"/>
          <w:tab w:val="left" w:pos="840"/>
        </w:tabs>
        <w:spacing w:before="15" w:line="223" w:lineRule="auto"/>
        <w:ind w:right="754"/>
        <w:rPr>
          <w:rFonts w:asciiTheme="minorHAnsi" w:hAnsiTheme="minorHAnsi" w:cstheme="minorHAnsi"/>
        </w:rPr>
      </w:pPr>
      <w:r w:rsidRPr="00827376">
        <w:rPr>
          <w:rFonts w:asciiTheme="minorHAnsi" w:hAnsiTheme="minorHAnsi" w:cstheme="minorHAnsi"/>
          <w:b/>
        </w:rPr>
        <w:t>Medical Knowledge</w:t>
      </w:r>
      <w:r w:rsidRPr="00827376">
        <w:rPr>
          <w:rFonts w:asciiTheme="minorHAnsi" w:hAnsiTheme="minorHAnsi" w:cstheme="minorHAnsi"/>
        </w:rPr>
        <w:t>-Demonstrate knowledge about established and evolving biomedical, clinical and cognate sciences and their application in patient</w:t>
      </w:r>
      <w:r w:rsidRPr="00827376">
        <w:rPr>
          <w:rFonts w:asciiTheme="minorHAnsi" w:hAnsiTheme="minorHAnsi" w:cstheme="minorHAnsi"/>
          <w:spacing w:val="-3"/>
        </w:rPr>
        <w:t xml:space="preserve"> </w:t>
      </w:r>
      <w:r w:rsidRPr="00827376">
        <w:rPr>
          <w:rFonts w:asciiTheme="minorHAnsi" w:hAnsiTheme="minorHAnsi" w:cstheme="minorHAnsi"/>
        </w:rPr>
        <w:t>care.</w:t>
      </w:r>
    </w:p>
    <w:p w14:paraId="42933A68" w14:textId="77777777" w:rsidR="00C62737" w:rsidRPr="00827376" w:rsidRDefault="00591823">
      <w:pPr>
        <w:pStyle w:val="ListParagraph"/>
        <w:numPr>
          <w:ilvl w:val="1"/>
          <w:numId w:val="1"/>
        </w:numPr>
        <w:tabs>
          <w:tab w:val="left" w:pos="839"/>
          <w:tab w:val="left" w:pos="840"/>
        </w:tabs>
        <w:spacing w:before="9" w:line="232" w:lineRule="auto"/>
        <w:ind w:right="134"/>
        <w:rPr>
          <w:rFonts w:asciiTheme="minorHAnsi" w:hAnsiTheme="minorHAnsi" w:cstheme="minorHAnsi"/>
        </w:rPr>
      </w:pPr>
      <w:r w:rsidRPr="00827376">
        <w:rPr>
          <w:rFonts w:asciiTheme="minorHAnsi" w:hAnsiTheme="minorHAnsi" w:cstheme="minorHAnsi"/>
          <w:b/>
        </w:rPr>
        <w:t>Interpersonal and Communica</w:t>
      </w:r>
      <w:r w:rsidRPr="00827376">
        <w:rPr>
          <w:rFonts w:asciiTheme="minorHAnsi" w:hAnsiTheme="minorHAnsi" w:cstheme="minorHAnsi"/>
          <w:b/>
        </w:rPr>
        <w:t>tion Skills</w:t>
      </w:r>
      <w:r w:rsidRPr="00827376">
        <w:rPr>
          <w:rFonts w:asciiTheme="minorHAnsi" w:hAnsiTheme="minorHAnsi" w:cstheme="minorHAnsi"/>
        </w:rPr>
        <w:t>-Demonstrate skills that result in effective</w:t>
      </w:r>
      <w:r w:rsidRPr="00827376">
        <w:rPr>
          <w:rFonts w:asciiTheme="minorHAnsi" w:hAnsiTheme="minorHAnsi" w:cstheme="minorHAnsi"/>
          <w:spacing w:val="-18"/>
        </w:rPr>
        <w:t xml:space="preserve"> </w:t>
      </w:r>
      <w:r w:rsidRPr="00827376">
        <w:rPr>
          <w:rFonts w:asciiTheme="minorHAnsi" w:hAnsiTheme="minorHAnsi" w:cstheme="minorHAnsi"/>
        </w:rPr>
        <w:t>information exchange and teaming with patients, their families and professional associates (e.g. fostering a therapeutic relationship that is ethically sounds, uses effective listening skills with non</w:t>
      </w:r>
      <w:r w:rsidRPr="00827376">
        <w:rPr>
          <w:rFonts w:asciiTheme="minorHAnsi" w:hAnsiTheme="minorHAnsi" w:cstheme="minorHAnsi"/>
        </w:rPr>
        <w:t>-verbal and verbal communication; working as both a team member and at times as a</w:t>
      </w:r>
      <w:r w:rsidRPr="00827376">
        <w:rPr>
          <w:rFonts w:asciiTheme="minorHAnsi" w:hAnsiTheme="minorHAnsi" w:cstheme="minorHAnsi"/>
          <w:spacing w:val="-8"/>
        </w:rPr>
        <w:t xml:space="preserve"> </w:t>
      </w:r>
      <w:r w:rsidRPr="00827376">
        <w:rPr>
          <w:rFonts w:asciiTheme="minorHAnsi" w:hAnsiTheme="minorHAnsi" w:cstheme="minorHAnsi"/>
        </w:rPr>
        <w:t>leader).</w:t>
      </w:r>
    </w:p>
    <w:p w14:paraId="42933A69" w14:textId="77777777" w:rsidR="00C62737" w:rsidRPr="00827376" w:rsidRDefault="00591823">
      <w:pPr>
        <w:pStyle w:val="ListParagraph"/>
        <w:numPr>
          <w:ilvl w:val="1"/>
          <w:numId w:val="1"/>
        </w:numPr>
        <w:tabs>
          <w:tab w:val="left" w:pos="839"/>
          <w:tab w:val="left" w:pos="840"/>
        </w:tabs>
        <w:spacing w:before="18" w:line="223" w:lineRule="auto"/>
        <w:ind w:right="755"/>
        <w:rPr>
          <w:rFonts w:asciiTheme="minorHAnsi" w:hAnsiTheme="minorHAnsi" w:cstheme="minorHAnsi"/>
        </w:rPr>
      </w:pPr>
      <w:r w:rsidRPr="00827376">
        <w:rPr>
          <w:rFonts w:asciiTheme="minorHAnsi" w:hAnsiTheme="minorHAnsi" w:cstheme="minorHAnsi"/>
          <w:b/>
        </w:rPr>
        <w:t>Professionalism</w:t>
      </w:r>
      <w:r w:rsidRPr="00827376">
        <w:rPr>
          <w:rFonts w:asciiTheme="minorHAnsi" w:hAnsiTheme="minorHAnsi" w:cstheme="minorHAnsi"/>
        </w:rPr>
        <w:t>-Demonstrate a commitment to carrying out professional responsibilities, adherence to ethical principles and sensitivity to diverse patient</w:t>
      </w:r>
      <w:r w:rsidRPr="00827376">
        <w:rPr>
          <w:rFonts w:asciiTheme="minorHAnsi" w:hAnsiTheme="minorHAnsi" w:cstheme="minorHAnsi"/>
          <w:spacing w:val="-7"/>
        </w:rPr>
        <w:t xml:space="preserve"> </w:t>
      </w:r>
      <w:r w:rsidRPr="00827376">
        <w:rPr>
          <w:rFonts w:asciiTheme="minorHAnsi" w:hAnsiTheme="minorHAnsi" w:cstheme="minorHAnsi"/>
        </w:rPr>
        <w:t>population</w:t>
      </w:r>
      <w:r w:rsidRPr="00827376">
        <w:rPr>
          <w:rFonts w:asciiTheme="minorHAnsi" w:hAnsiTheme="minorHAnsi" w:cstheme="minorHAnsi"/>
        </w:rPr>
        <w:t>s.</w:t>
      </w:r>
    </w:p>
    <w:p w14:paraId="42933A6A" w14:textId="77777777" w:rsidR="00C62737" w:rsidRPr="00827376" w:rsidRDefault="00591823">
      <w:pPr>
        <w:pStyle w:val="ListParagraph"/>
        <w:numPr>
          <w:ilvl w:val="1"/>
          <w:numId w:val="1"/>
        </w:numPr>
        <w:tabs>
          <w:tab w:val="left" w:pos="839"/>
          <w:tab w:val="left" w:pos="840"/>
        </w:tabs>
        <w:spacing w:before="9" w:line="232" w:lineRule="auto"/>
        <w:ind w:right="437"/>
        <w:rPr>
          <w:rFonts w:asciiTheme="minorHAnsi" w:hAnsiTheme="minorHAnsi" w:cstheme="minorHAnsi"/>
        </w:rPr>
      </w:pPr>
      <w:r w:rsidRPr="00827376">
        <w:rPr>
          <w:rFonts w:asciiTheme="minorHAnsi" w:hAnsiTheme="minorHAnsi" w:cstheme="minorHAnsi"/>
          <w:b/>
        </w:rPr>
        <w:t>Systems-based Practice</w:t>
      </w:r>
      <w:r w:rsidRPr="00827376">
        <w:rPr>
          <w:rFonts w:asciiTheme="minorHAnsi" w:hAnsiTheme="minorHAnsi" w:cstheme="minorHAnsi"/>
        </w:rPr>
        <w:t xml:space="preserve">-Demonstrate awareness of and responsibility to larger context and systems of healthcare. Be able to call on system resources to provide optimal care (e.g. coordinating care across sites or serving as the primary case manager when </w:t>
      </w:r>
      <w:r w:rsidRPr="00827376">
        <w:rPr>
          <w:rFonts w:asciiTheme="minorHAnsi" w:hAnsiTheme="minorHAnsi" w:cstheme="minorHAnsi"/>
        </w:rPr>
        <w:t>care involves multiple specialties, professions or</w:t>
      </w:r>
      <w:r w:rsidRPr="00827376">
        <w:rPr>
          <w:rFonts w:asciiTheme="minorHAnsi" w:hAnsiTheme="minorHAnsi" w:cstheme="minorHAnsi"/>
          <w:spacing w:val="-2"/>
        </w:rPr>
        <w:t xml:space="preserve"> </w:t>
      </w:r>
      <w:r w:rsidRPr="00827376">
        <w:rPr>
          <w:rFonts w:asciiTheme="minorHAnsi" w:hAnsiTheme="minorHAnsi" w:cstheme="minorHAnsi"/>
        </w:rPr>
        <w:t>sites).</w:t>
      </w:r>
    </w:p>
    <w:p w14:paraId="42933A6B" w14:textId="77777777" w:rsidR="00C62737" w:rsidRPr="00827376" w:rsidRDefault="00591823">
      <w:pPr>
        <w:pStyle w:val="ListParagraph"/>
        <w:numPr>
          <w:ilvl w:val="1"/>
          <w:numId w:val="1"/>
        </w:numPr>
        <w:tabs>
          <w:tab w:val="left" w:pos="839"/>
          <w:tab w:val="left" w:pos="840"/>
        </w:tabs>
        <w:spacing w:before="18" w:line="223" w:lineRule="auto"/>
        <w:ind w:right="156"/>
        <w:rPr>
          <w:rFonts w:asciiTheme="minorHAnsi" w:hAnsiTheme="minorHAnsi" w:cstheme="minorHAnsi"/>
        </w:rPr>
      </w:pPr>
      <w:r w:rsidRPr="00827376">
        <w:rPr>
          <w:rFonts w:asciiTheme="minorHAnsi" w:hAnsiTheme="minorHAnsi" w:cstheme="minorHAnsi"/>
          <w:b/>
        </w:rPr>
        <w:t>Practice-based Learning and Improvement</w:t>
      </w:r>
      <w:r w:rsidRPr="00827376">
        <w:rPr>
          <w:rFonts w:asciiTheme="minorHAnsi" w:hAnsiTheme="minorHAnsi" w:cstheme="minorHAnsi"/>
        </w:rPr>
        <w:t>-Able to investigate and evaluate their patient care practices appraise and assimilate scientific evidence and improve their practice of</w:t>
      </w:r>
      <w:r w:rsidRPr="00827376">
        <w:rPr>
          <w:rFonts w:asciiTheme="minorHAnsi" w:hAnsiTheme="minorHAnsi" w:cstheme="minorHAnsi"/>
          <w:spacing w:val="-11"/>
        </w:rPr>
        <w:t xml:space="preserve"> </w:t>
      </w:r>
      <w:r w:rsidRPr="00827376">
        <w:rPr>
          <w:rFonts w:asciiTheme="minorHAnsi" w:hAnsiTheme="minorHAnsi" w:cstheme="minorHAnsi"/>
        </w:rPr>
        <w:t>medicine.</w:t>
      </w:r>
    </w:p>
    <w:p w14:paraId="42933A6C" w14:textId="77777777" w:rsidR="00C62737" w:rsidRPr="00827376" w:rsidRDefault="00C62737">
      <w:pPr>
        <w:pStyle w:val="BodyText"/>
        <w:spacing w:before="3"/>
        <w:rPr>
          <w:rFonts w:asciiTheme="minorHAnsi" w:hAnsiTheme="minorHAnsi" w:cstheme="minorHAnsi"/>
          <w:sz w:val="24"/>
        </w:rPr>
      </w:pPr>
    </w:p>
    <w:p w14:paraId="42933A6D" w14:textId="77777777" w:rsidR="00C62737" w:rsidRPr="00827376" w:rsidRDefault="00591823">
      <w:pPr>
        <w:pStyle w:val="Heading1"/>
        <w:spacing w:before="1"/>
        <w:rPr>
          <w:rFonts w:asciiTheme="minorHAnsi" w:hAnsiTheme="minorHAnsi" w:cstheme="minorHAnsi"/>
          <w:color w:val="31849B" w:themeColor="accent5" w:themeShade="BF"/>
        </w:rPr>
      </w:pPr>
      <w:r w:rsidRPr="00827376">
        <w:rPr>
          <w:rFonts w:asciiTheme="minorHAnsi" w:hAnsiTheme="minorHAnsi" w:cstheme="minorHAnsi"/>
          <w:color w:val="31849B" w:themeColor="accent5" w:themeShade="BF"/>
        </w:rPr>
        <w:t>ACCME Cont</w:t>
      </w:r>
      <w:r w:rsidRPr="00827376">
        <w:rPr>
          <w:rFonts w:asciiTheme="minorHAnsi" w:hAnsiTheme="minorHAnsi" w:cstheme="minorHAnsi"/>
          <w:color w:val="31849B" w:themeColor="accent5" w:themeShade="BF"/>
        </w:rPr>
        <w:t>ent Validation Value Statements:</w:t>
      </w:r>
      <w:bookmarkStart w:id="0" w:name="_GoBack"/>
      <w:bookmarkEnd w:id="0"/>
    </w:p>
    <w:p w14:paraId="42933A6E" w14:textId="77777777" w:rsidR="00C62737" w:rsidRPr="00827376" w:rsidRDefault="00591823">
      <w:pPr>
        <w:ind w:left="119" w:right="197"/>
        <w:rPr>
          <w:rFonts w:asciiTheme="minorHAnsi" w:hAnsiTheme="minorHAnsi" w:cstheme="minorHAnsi"/>
        </w:rPr>
      </w:pPr>
      <w:r w:rsidRPr="00827376">
        <w:rPr>
          <w:rFonts w:asciiTheme="minorHAnsi" w:hAnsiTheme="minorHAnsi" w:cstheme="minorHAnsi"/>
        </w:rPr>
        <w:t xml:space="preserve">STATEMENT 1. “All the recommendations involving clinical medicine in a CME activity must be </w:t>
      </w:r>
      <w:r w:rsidRPr="00827376">
        <w:rPr>
          <w:rFonts w:asciiTheme="minorHAnsi" w:hAnsiTheme="minorHAnsi" w:cstheme="minorHAnsi"/>
          <w:i/>
          <w:color w:val="000080"/>
        </w:rPr>
        <w:t xml:space="preserve">based on evidence that is accepted within the profession of medicine </w:t>
      </w:r>
      <w:r w:rsidRPr="00827376">
        <w:rPr>
          <w:rFonts w:asciiTheme="minorHAnsi" w:hAnsiTheme="minorHAnsi" w:cstheme="minorHAnsi"/>
        </w:rPr>
        <w:t>as adequate justification for their indications and contraindi</w:t>
      </w:r>
      <w:r w:rsidRPr="00827376">
        <w:rPr>
          <w:rFonts w:asciiTheme="minorHAnsi" w:hAnsiTheme="minorHAnsi" w:cstheme="minorHAnsi"/>
        </w:rPr>
        <w:t>cations in the care of patients.”</w:t>
      </w:r>
    </w:p>
    <w:p w14:paraId="42933A6F" w14:textId="77777777" w:rsidR="00C62737" w:rsidRPr="00827376" w:rsidRDefault="00591823">
      <w:pPr>
        <w:pStyle w:val="BodyText"/>
        <w:spacing w:before="126"/>
        <w:ind w:left="119" w:right="352"/>
        <w:rPr>
          <w:rFonts w:asciiTheme="minorHAnsi" w:hAnsiTheme="minorHAnsi" w:cstheme="minorHAnsi"/>
        </w:rPr>
      </w:pPr>
      <w:r w:rsidRPr="00827376">
        <w:rPr>
          <w:rFonts w:asciiTheme="minorHAnsi" w:hAnsiTheme="minorHAnsi" w:cstheme="minorHAnsi"/>
        </w:rPr>
        <w:t>STATEMENT 2. “All scientific research referred to, reported or used in CME in support or justification of a patient care recommendation must conform to the generally accepted standards of experimental design, data collection and analysis.”</w:t>
      </w:r>
    </w:p>
    <w:p w14:paraId="42933A70" w14:textId="77777777" w:rsidR="00C62737" w:rsidRPr="00827376" w:rsidRDefault="00591823">
      <w:pPr>
        <w:pStyle w:val="BodyText"/>
        <w:spacing w:before="126"/>
        <w:ind w:left="119"/>
        <w:rPr>
          <w:rFonts w:asciiTheme="minorHAnsi" w:hAnsiTheme="minorHAnsi" w:cstheme="minorHAnsi"/>
        </w:rPr>
      </w:pPr>
      <w:r w:rsidRPr="00827376">
        <w:rPr>
          <w:rFonts w:asciiTheme="minorHAnsi" w:hAnsiTheme="minorHAnsi" w:cstheme="minorHAnsi"/>
        </w:rPr>
        <w:t>STATEMENT 3. “Pr</w:t>
      </w:r>
      <w:r w:rsidRPr="00827376">
        <w:rPr>
          <w:rFonts w:asciiTheme="minorHAnsi" w:hAnsiTheme="minorHAnsi" w:cstheme="minorHAnsi"/>
        </w:rPr>
        <w:t>oviders are NOT eligible for ACCME accreditation or reaccreditation if they present activities that promote:</w:t>
      </w:r>
    </w:p>
    <w:p w14:paraId="42933A71" w14:textId="77777777" w:rsidR="00C62737" w:rsidRPr="00827376" w:rsidRDefault="00591823">
      <w:pPr>
        <w:pStyle w:val="ListParagraph"/>
        <w:numPr>
          <w:ilvl w:val="2"/>
          <w:numId w:val="1"/>
        </w:numPr>
        <w:tabs>
          <w:tab w:val="left" w:pos="1200"/>
        </w:tabs>
        <w:ind w:right="1031"/>
        <w:rPr>
          <w:rFonts w:asciiTheme="minorHAnsi" w:hAnsiTheme="minorHAnsi" w:cstheme="minorHAnsi"/>
        </w:rPr>
      </w:pPr>
      <w:r w:rsidRPr="00827376">
        <w:rPr>
          <w:rFonts w:asciiTheme="minorHAnsi" w:hAnsiTheme="minorHAnsi" w:cstheme="minorHAnsi"/>
        </w:rPr>
        <w:t xml:space="preserve">Recommendations, treatment, or manners of practicing medicine that are not within the definition of CME </w:t>
      </w:r>
      <w:r w:rsidRPr="00591823">
        <w:rPr>
          <w:rFonts w:asciiTheme="minorHAnsi" w:hAnsiTheme="minorHAnsi" w:cstheme="minorHAnsi"/>
          <w:szCs w:val="24"/>
          <w:u w:val="single"/>
        </w:rPr>
        <w:t>or</w:t>
      </w:r>
      <w:r w:rsidRPr="00591823">
        <w:rPr>
          <w:rFonts w:asciiTheme="minorHAnsi" w:hAnsiTheme="minorHAnsi" w:cstheme="minorHAnsi"/>
          <w:spacing w:val="-5"/>
          <w:szCs w:val="24"/>
          <w:u w:val="single"/>
        </w:rPr>
        <w:t xml:space="preserve"> </w:t>
      </w:r>
      <w:r w:rsidRPr="00591823">
        <w:rPr>
          <w:rFonts w:asciiTheme="minorHAnsi" w:hAnsiTheme="minorHAnsi" w:cstheme="minorHAnsi"/>
          <w:szCs w:val="24"/>
          <w:u w:val="single"/>
        </w:rPr>
        <w:t>are</w:t>
      </w:r>
    </w:p>
    <w:p w14:paraId="42933A72" w14:textId="77777777" w:rsidR="00C62737" w:rsidRPr="00827376" w:rsidRDefault="00591823">
      <w:pPr>
        <w:pStyle w:val="ListParagraph"/>
        <w:numPr>
          <w:ilvl w:val="2"/>
          <w:numId w:val="1"/>
        </w:numPr>
        <w:tabs>
          <w:tab w:val="left" w:pos="1200"/>
        </w:tabs>
        <w:ind w:hanging="361"/>
        <w:rPr>
          <w:rFonts w:asciiTheme="minorHAnsi" w:hAnsiTheme="minorHAnsi" w:cstheme="minorHAnsi"/>
          <w:sz w:val="20"/>
        </w:rPr>
      </w:pPr>
      <w:r w:rsidRPr="00827376">
        <w:rPr>
          <w:rFonts w:asciiTheme="minorHAnsi" w:hAnsiTheme="minorHAnsi" w:cstheme="minorHAnsi"/>
        </w:rPr>
        <w:t xml:space="preserve">Known to have risks or dangers that outweigh the benefits </w:t>
      </w:r>
      <w:r w:rsidRPr="00827376">
        <w:rPr>
          <w:rFonts w:asciiTheme="minorHAnsi" w:hAnsiTheme="minorHAnsi" w:cstheme="minorHAnsi"/>
          <w:sz w:val="20"/>
          <w:u w:val="single"/>
        </w:rPr>
        <w:t>or</w:t>
      </w:r>
      <w:r w:rsidRPr="00827376">
        <w:rPr>
          <w:rFonts w:asciiTheme="minorHAnsi" w:hAnsiTheme="minorHAnsi" w:cstheme="minorHAnsi"/>
          <w:spacing w:val="-5"/>
          <w:sz w:val="20"/>
          <w:u w:val="single"/>
        </w:rPr>
        <w:t xml:space="preserve"> </w:t>
      </w:r>
      <w:r w:rsidRPr="00827376">
        <w:rPr>
          <w:rFonts w:asciiTheme="minorHAnsi" w:hAnsiTheme="minorHAnsi" w:cstheme="minorHAnsi"/>
          <w:sz w:val="20"/>
          <w:u w:val="single"/>
        </w:rPr>
        <w:t>are</w:t>
      </w:r>
    </w:p>
    <w:p w14:paraId="42933A73" w14:textId="77777777" w:rsidR="00C62737" w:rsidRPr="00827376" w:rsidRDefault="00591823">
      <w:pPr>
        <w:pStyle w:val="ListParagraph"/>
        <w:numPr>
          <w:ilvl w:val="2"/>
          <w:numId w:val="1"/>
        </w:numPr>
        <w:tabs>
          <w:tab w:val="left" w:pos="1200"/>
        </w:tabs>
        <w:spacing w:before="1"/>
        <w:ind w:hanging="361"/>
        <w:rPr>
          <w:rFonts w:asciiTheme="minorHAnsi" w:hAnsiTheme="minorHAnsi" w:cstheme="minorHAnsi"/>
        </w:rPr>
      </w:pPr>
      <w:r w:rsidRPr="00827376">
        <w:rPr>
          <w:rFonts w:asciiTheme="minorHAnsi" w:hAnsiTheme="minorHAnsi" w:cstheme="minorHAnsi"/>
        </w:rPr>
        <w:t>Known to be ineffective in the treatment of</w:t>
      </w:r>
      <w:r w:rsidRPr="00827376">
        <w:rPr>
          <w:rFonts w:asciiTheme="minorHAnsi" w:hAnsiTheme="minorHAnsi" w:cstheme="minorHAnsi"/>
          <w:spacing w:val="-2"/>
        </w:rPr>
        <w:t xml:space="preserve"> </w:t>
      </w:r>
      <w:r w:rsidRPr="00827376">
        <w:rPr>
          <w:rFonts w:asciiTheme="minorHAnsi" w:hAnsiTheme="minorHAnsi" w:cstheme="minorHAnsi"/>
        </w:rPr>
        <w:t>patients”</w:t>
      </w:r>
    </w:p>
    <w:p w14:paraId="42933A74" w14:textId="77777777" w:rsidR="00C62737" w:rsidRPr="00827376" w:rsidRDefault="00C62737">
      <w:pPr>
        <w:pStyle w:val="BodyText"/>
        <w:rPr>
          <w:rFonts w:asciiTheme="minorHAnsi" w:hAnsiTheme="minorHAnsi" w:cstheme="minorHAnsi"/>
          <w:sz w:val="20"/>
        </w:rPr>
      </w:pPr>
    </w:p>
    <w:p w14:paraId="42933A75" w14:textId="77777777" w:rsidR="00C62737" w:rsidRPr="00827376" w:rsidRDefault="00C62737">
      <w:pPr>
        <w:pStyle w:val="BodyText"/>
        <w:rPr>
          <w:rFonts w:asciiTheme="minorHAnsi" w:hAnsiTheme="minorHAnsi" w:cstheme="minorHAnsi"/>
          <w:sz w:val="20"/>
        </w:rPr>
      </w:pPr>
    </w:p>
    <w:p w14:paraId="42933A76" w14:textId="77777777" w:rsidR="00C62737" w:rsidRPr="00827376" w:rsidRDefault="00C62737">
      <w:pPr>
        <w:pStyle w:val="BodyText"/>
        <w:rPr>
          <w:rFonts w:asciiTheme="minorHAnsi" w:hAnsiTheme="minorHAnsi" w:cstheme="minorHAnsi"/>
          <w:sz w:val="20"/>
        </w:rPr>
      </w:pPr>
    </w:p>
    <w:p w14:paraId="42933A77" w14:textId="77777777" w:rsidR="00C62737" w:rsidRPr="00827376" w:rsidRDefault="00C62737">
      <w:pPr>
        <w:pStyle w:val="BodyText"/>
        <w:rPr>
          <w:rFonts w:asciiTheme="minorHAnsi" w:hAnsiTheme="minorHAnsi" w:cstheme="minorHAnsi"/>
          <w:sz w:val="20"/>
        </w:rPr>
      </w:pPr>
    </w:p>
    <w:p w14:paraId="42933A78" w14:textId="77777777" w:rsidR="00C62737" w:rsidRPr="00827376" w:rsidRDefault="00C62737">
      <w:pPr>
        <w:pStyle w:val="BodyText"/>
        <w:rPr>
          <w:rFonts w:asciiTheme="minorHAnsi" w:hAnsiTheme="minorHAnsi" w:cstheme="minorHAnsi"/>
          <w:sz w:val="20"/>
        </w:rPr>
      </w:pPr>
    </w:p>
    <w:p w14:paraId="42933A79" w14:textId="77777777" w:rsidR="00C62737" w:rsidRPr="00827376" w:rsidRDefault="00C62737">
      <w:pPr>
        <w:pStyle w:val="BodyText"/>
        <w:rPr>
          <w:rFonts w:asciiTheme="minorHAnsi" w:hAnsiTheme="minorHAnsi" w:cstheme="minorHAnsi"/>
          <w:sz w:val="20"/>
        </w:rPr>
      </w:pPr>
    </w:p>
    <w:p w14:paraId="42933A7A" w14:textId="77777777" w:rsidR="00C62737" w:rsidRPr="00827376" w:rsidRDefault="00C62737">
      <w:pPr>
        <w:pStyle w:val="BodyText"/>
        <w:rPr>
          <w:rFonts w:asciiTheme="minorHAnsi" w:hAnsiTheme="minorHAnsi" w:cstheme="minorHAnsi"/>
          <w:sz w:val="20"/>
        </w:rPr>
      </w:pPr>
    </w:p>
    <w:p w14:paraId="42933A7B" w14:textId="77777777" w:rsidR="00C62737" w:rsidRPr="00827376" w:rsidRDefault="00C62737">
      <w:pPr>
        <w:pStyle w:val="BodyText"/>
        <w:rPr>
          <w:rFonts w:asciiTheme="minorHAnsi" w:hAnsiTheme="minorHAnsi" w:cstheme="minorHAnsi"/>
          <w:sz w:val="20"/>
        </w:rPr>
      </w:pPr>
    </w:p>
    <w:p w14:paraId="42933A7C" w14:textId="77777777" w:rsidR="00C62737" w:rsidRPr="00827376" w:rsidRDefault="00C62737">
      <w:pPr>
        <w:pStyle w:val="BodyText"/>
        <w:rPr>
          <w:rFonts w:asciiTheme="minorHAnsi" w:hAnsiTheme="minorHAnsi" w:cstheme="minorHAnsi"/>
          <w:sz w:val="20"/>
        </w:rPr>
      </w:pPr>
    </w:p>
    <w:p w14:paraId="42933A7D" w14:textId="77777777" w:rsidR="00C62737" w:rsidRPr="00827376" w:rsidRDefault="00C62737">
      <w:pPr>
        <w:pStyle w:val="BodyText"/>
        <w:rPr>
          <w:rFonts w:asciiTheme="minorHAnsi" w:hAnsiTheme="minorHAnsi" w:cstheme="minorHAnsi"/>
          <w:sz w:val="20"/>
        </w:rPr>
      </w:pPr>
    </w:p>
    <w:p w14:paraId="42933A7F" w14:textId="19EEA8C0" w:rsidR="00C62737" w:rsidRDefault="00C62737" w:rsidP="00591823">
      <w:pPr>
        <w:spacing w:before="90"/>
        <w:ind w:right="119"/>
        <w:rPr>
          <w:rFonts w:ascii="Times New Roman"/>
          <w:sz w:val="24"/>
        </w:rPr>
      </w:pPr>
    </w:p>
    <w:sectPr w:rsidR="00C62737">
      <w:pgSz w:w="12240" w:h="15840"/>
      <w:pgMar w:top="940" w:right="102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F2439"/>
    <w:multiLevelType w:val="hybridMultilevel"/>
    <w:tmpl w:val="CD921288"/>
    <w:lvl w:ilvl="0" w:tplc="51F6BCC4">
      <w:numFmt w:val="bullet"/>
      <w:lvlText w:val="o"/>
      <w:lvlJc w:val="left"/>
      <w:pPr>
        <w:ind w:left="519" w:hanging="361"/>
      </w:pPr>
      <w:rPr>
        <w:rFonts w:ascii="Courier New" w:eastAsia="Courier New" w:hAnsi="Courier New" w:cs="Courier New" w:hint="default"/>
        <w:w w:val="99"/>
        <w:sz w:val="22"/>
        <w:szCs w:val="22"/>
      </w:rPr>
    </w:lvl>
    <w:lvl w:ilvl="1" w:tplc="2514DE78">
      <w:numFmt w:val="bullet"/>
      <w:lvlText w:val="o"/>
      <w:lvlJc w:val="left"/>
      <w:pPr>
        <w:ind w:left="839" w:hanging="361"/>
      </w:pPr>
      <w:rPr>
        <w:rFonts w:ascii="Courier New" w:eastAsia="Courier New" w:hAnsi="Courier New" w:cs="Courier New" w:hint="default"/>
        <w:w w:val="99"/>
        <w:sz w:val="22"/>
        <w:szCs w:val="22"/>
      </w:rPr>
    </w:lvl>
    <w:lvl w:ilvl="2" w:tplc="3E9AFA46">
      <w:start w:val="1"/>
      <w:numFmt w:val="lowerLetter"/>
      <w:lvlText w:val="%3."/>
      <w:lvlJc w:val="left"/>
      <w:pPr>
        <w:ind w:left="1199" w:hanging="360"/>
        <w:jc w:val="left"/>
      </w:pPr>
      <w:rPr>
        <w:rFonts w:hint="default"/>
        <w:w w:val="99"/>
      </w:rPr>
    </w:lvl>
    <w:lvl w:ilvl="3" w:tplc="00806BA6">
      <w:numFmt w:val="bullet"/>
      <w:lvlText w:val="•"/>
      <w:lvlJc w:val="left"/>
      <w:pPr>
        <w:ind w:left="2342" w:hanging="360"/>
      </w:pPr>
      <w:rPr>
        <w:rFonts w:hint="default"/>
      </w:rPr>
    </w:lvl>
    <w:lvl w:ilvl="4" w:tplc="4EA0C060">
      <w:numFmt w:val="bullet"/>
      <w:lvlText w:val="•"/>
      <w:lvlJc w:val="left"/>
      <w:pPr>
        <w:ind w:left="3485" w:hanging="360"/>
      </w:pPr>
      <w:rPr>
        <w:rFonts w:hint="default"/>
      </w:rPr>
    </w:lvl>
    <w:lvl w:ilvl="5" w:tplc="AEDA5858">
      <w:numFmt w:val="bullet"/>
      <w:lvlText w:val="•"/>
      <w:lvlJc w:val="left"/>
      <w:pPr>
        <w:ind w:left="4627" w:hanging="360"/>
      </w:pPr>
      <w:rPr>
        <w:rFonts w:hint="default"/>
      </w:rPr>
    </w:lvl>
    <w:lvl w:ilvl="6" w:tplc="7B8884E2">
      <w:numFmt w:val="bullet"/>
      <w:lvlText w:val="•"/>
      <w:lvlJc w:val="left"/>
      <w:pPr>
        <w:ind w:left="5770" w:hanging="360"/>
      </w:pPr>
      <w:rPr>
        <w:rFonts w:hint="default"/>
      </w:rPr>
    </w:lvl>
    <w:lvl w:ilvl="7" w:tplc="36B88AFC">
      <w:numFmt w:val="bullet"/>
      <w:lvlText w:val="•"/>
      <w:lvlJc w:val="left"/>
      <w:pPr>
        <w:ind w:left="6912" w:hanging="360"/>
      </w:pPr>
      <w:rPr>
        <w:rFonts w:hint="default"/>
      </w:rPr>
    </w:lvl>
    <w:lvl w:ilvl="8" w:tplc="701C4DB2">
      <w:numFmt w:val="bullet"/>
      <w:lvlText w:val="•"/>
      <w:lvlJc w:val="left"/>
      <w:pPr>
        <w:ind w:left="805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C62737"/>
    <w:rsid w:val="001C168F"/>
    <w:rsid w:val="001F753B"/>
    <w:rsid w:val="003B750D"/>
    <w:rsid w:val="00591823"/>
    <w:rsid w:val="00827376"/>
    <w:rsid w:val="009B78C1"/>
    <w:rsid w:val="00C62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33A46"/>
  <w15:docId w15:val="{F1FEF37D-1D40-4FBE-8189-193DDE75C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line="276" w:lineRule="exact"/>
      <w:ind w:left="11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3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4177BCAB44C48B54CDF41FCCE3981" ma:contentTypeVersion="10" ma:contentTypeDescription="Create a new document." ma:contentTypeScope="" ma:versionID="289fe00b8819eb400deb693a67013911">
  <xsd:schema xmlns:xsd="http://www.w3.org/2001/XMLSchema" xmlns:xs="http://www.w3.org/2001/XMLSchema" xmlns:p="http://schemas.microsoft.com/office/2006/metadata/properties" xmlns:ns3="32983473-661c-41af-bcf8-b10546e61190" targetNamespace="http://schemas.microsoft.com/office/2006/metadata/properties" ma:root="true" ma:fieldsID="d9e0743689f545924512b0ba7abd452a" ns3:_="">
    <xsd:import namespace="32983473-661c-41af-bcf8-b10546e611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83473-661c-41af-bcf8-b10546e611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801FCC-FE0E-4626-8D43-3759FB77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83473-661c-41af-bcf8-b10546e61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B3A483-28F6-432D-8C9E-C7250522C917}">
  <ds:schemaRefs>
    <ds:schemaRef ds:uri="http://schemas.microsoft.com/sharepoint/v3/contenttype/forms"/>
  </ds:schemaRefs>
</ds:datastoreItem>
</file>

<file path=customXml/itemProps3.xml><?xml version="1.0" encoding="utf-8"?>
<ds:datastoreItem xmlns:ds="http://schemas.openxmlformats.org/officeDocument/2006/customXml" ds:itemID="{3C172986-7668-4851-9FCB-14D12B37DD50}">
  <ds:schemaRefs>
    <ds:schemaRef ds:uri="http://purl.org/dc/terms/"/>
    <ds:schemaRef ds:uri="http://schemas.microsoft.com/office/2006/documentManagement/types"/>
    <ds:schemaRef ds:uri="http://schemas.microsoft.com/office/2006/metadata/properties"/>
    <ds:schemaRef ds:uri="http://www.w3.org/XML/1998/namespace"/>
    <ds:schemaRef ds:uri="http://purl.org/dc/elements/1.1/"/>
    <ds:schemaRef ds:uri="http://schemas.microsoft.com/office/infopath/2007/PartnerControls"/>
    <ds:schemaRef ds:uri="32983473-661c-41af-bcf8-b10546e61190"/>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1029</Words>
  <Characters>5870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Microsoft Word - Developing Educational Content</vt:lpstr>
    </vt:vector>
  </TitlesOfParts>
  <Company/>
  <LinksUpToDate>false</LinksUpToDate>
  <CharactersWithSpaces>6886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Developing Educational Content</dc:title>
  <dc:creator>Michelle</dc:creator>
  <cp:lastModifiedBy>Michelle Small</cp:lastModifiedBy>
  <cp:revision>5</cp:revision>
  <dcterms:created xsi:type="dcterms:W3CDTF">2020-04-20T14:19:00Z</dcterms:created>
  <dcterms:modified xsi:type="dcterms:W3CDTF">2020-04-20T14:24:00Z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2016-10-31T00:00:00Z</vt:filetime>
  </property>
  <property fmtid="{D5CDD505-2E9C-101B-9397-08002B2CF9AE}" pid="3" name="Creator">
    <vt:lpwstr>PScript5.dll Version 5.2.2</vt:lpwstr>
  </property>
  <property fmtid="{D5CDD505-2E9C-101B-9397-08002B2CF9AE}" pid="4" name="LastSaved">
    <vt:filetime>2020-04-20T00:00:00Z</vt:filetime>
  </property>
  <property fmtid="{D5CDD505-2E9C-101B-9397-08002B2CF9AE}" pid="5" name="ContentTypeId">
    <vt:lpwstr>0x0101004204177BCAB44C48B54CDF41FCCE3981</vt:lpwstr>
  </property>
</Properties>
</file>